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Theme="minorEastAsia" w:hAnsiTheme="minorEastAsia"/>
          <w:b/>
          <w:color w:val="FF0000"/>
          <w:sz w:val="28"/>
          <w:szCs w:val="28"/>
        </w:rPr>
      </w:pPr>
    </w:p>
    <w:p>
      <w:pPr>
        <w:spacing w:line="360" w:lineRule="auto"/>
        <w:ind w:firstLine="1320" w:firstLineChars="300"/>
        <w:jc w:val="both"/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</w:rPr>
        <w:t>关于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:lang w:val="en-US" w:eastAsia="zh-CN"/>
        </w:rPr>
        <w:t>举办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</w:rPr>
        <w:t>2022中国安防渠道分销商</w:t>
      </w:r>
    </w:p>
    <w:p>
      <w:pPr>
        <w:spacing w:line="360" w:lineRule="auto"/>
        <w:ind w:firstLine="1320" w:firstLineChars="300"/>
        <w:jc w:val="both"/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</w:rPr>
        <w:t>（代理商）大会（重庆站）的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:lang w:val="en-US" w:eastAsia="zh-CN"/>
        </w:rPr>
        <w:t>通知</w:t>
      </w:r>
    </w:p>
    <w:p>
      <w:pPr>
        <w:widowControl/>
        <w:spacing w:line="60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</w:pP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会员单位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为了宣贯行业标准、培训行业知识、解读行业前瞻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为渠道分销商、代理商搭建厂商互动式交流平台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重庆市公共安全技术防范协会联合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国内知名安防媒体北京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永泰传媒举办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第4届中国安防渠道分销商（代理商）大会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定于7月22日下午在渝举行。现将有关事项通知如下：</w:t>
      </w:r>
    </w:p>
    <w:p>
      <w:pPr>
        <w:numPr>
          <w:ilvl w:val="0"/>
          <w:numId w:val="1"/>
        </w:numPr>
        <w:ind w:firstLine="1200" w:firstLineChars="4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0"/>
          <w:szCs w:val="30"/>
        </w:rPr>
        <w:t>会议时间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0"/>
          <w:szCs w:val="30"/>
          <w:shd w:val="clear" w:color="auto" w:fill="FFFFFF"/>
        </w:rPr>
        <w:t>：</w:t>
      </w:r>
    </w:p>
    <w:p>
      <w:pPr>
        <w:numPr>
          <w:ilvl w:val="0"/>
          <w:numId w:val="0"/>
        </w:numPr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</w:rPr>
        <w:t xml:space="preserve"> 2022年7月22日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14:00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</w:rPr>
        <w:t>-17:30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</w:rPr>
        <w:t>9:00-1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</w:rPr>
        <w:t>: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</w:rPr>
        <w:t>0签到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1200" w:firstLineChars="400"/>
        <w:jc w:val="left"/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0"/>
          <w:szCs w:val="30"/>
          <w:shd w:val="clear" w:color="auto" w:fill="FFFFFF"/>
        </w:rPr>
        <w:t>会议地点</w:t>
      </w:r>
      <w:r>
        <w:rPr>
          <w:rFonts w:hint="eastAsia" w:ascii="黑体" w:hAnsi="黑体" w:eastAsia="黑体" w:cs="黑体"/>
          <w:b/>
          <w:bCs w:val="0"/>
          <w:color w:val="000000" w:themeColor="text1"/>
          <w:kern w:val="0"/>
          <w:sz w:val="30"/>
          <w:szCs w:val="30"/>
          <w:shd w:val="clear" w:color="auto" w:fill="FFFFFF"/>
        </w:rPr>
        <w:t>:</w:t>
      </w:r>
    </w:p>
    <w:p>
      <w:pPr>
        <w:numPr>
          <w:ilvl w:val="0"/>
          <w:numId w:val="0"/>
        </w:numPr>
        <w:ind w:leftChars="400" w:firstLine="320" w:firstLineChars="100"/>
        <w:jc w:val="left"/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shd w:val="clear" w:color="auto" w:fill="FFFFFF"/>
        </w:rPr>
        <w:t>重庆长城酒店（三楼锦绣厅）渝中区大坪长江二路174号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1200" w:firstLineChars="400"/>
        <w:jc w:val="left"/>
        <w:rPr>
          <w:rFonts w:hint="eastAsia" w:ascii="黑体" w:hAnsi="黑体" w:eastAsia="黑体" w:cs="黑体"/>
          <w:color w:val="000000" w:themeColor="text1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0"/>
          <w:szCs w:val="30"/>
          <w:shd w:val="clear" w:color="auto" w:fill="FFFFFF"/>
          <w:lang w:val="en-US" w:eastAsia="zh-CN"/>
        </w:rPr>
        <w:t>会议内容：</w:t>
      </w:r>
    </w:p>
    <w:p>
      <w:pPr>
        <w:widowControl/>
        <w:ind w:firstLine="960" w:firstLineChars="300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国内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主流厂商介绍新产品、新技术、新应用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新解决方案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ind w:firstLine="960" w:firstLineChars="3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望各会员单位积极报名参加，并于7月19日前回执协会邮箱cqafxh@163.com。联系人：何宇，手机13883277114。</w:t>
      </w:r>
    </w:p>
    <w:p>
      <w:pPr>
        <w:ind w:firstLine="960" w:firstLineChars="300"/>
        <w:jc w:val="left"/>
        <w:rPr>
          <w:rFonts w:hint="default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附：会议流程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420"/>
        <w:jc w:val="right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重庆市公共安全技术防范协会</w:t>
      </w:r>
    </w:p>
    <w:p>
      <w:pPr>
        <w:ind w:firstLine="6400" w:firstLineChars="20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2022年7月12日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3840" w:firstLineChars="1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参会回执表</w:t>
      </w:r>
    </w:p>
    <w:tbl>
      <w:tblPr>
        <w:tblStyle w:val="8"/>
        <w:tblpPr w:leftFromText="180" w:rightFromText="180" w:vertAnchor="text" w:horzAnchor="page" w:tblpX="1572" w:tblpY="228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840"/>
        <w:gridCol w:w="1120"/>
        <w:gridCol w:w="226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20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20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420"/>
        <w:jc w:val="right"/>
        <w:rPr>
          <w:rFonts w:hint="default" w:cs="宋体" w:asciiTheme="minorEastAsia" w:hAnsiTheme="minorEastAsia"/>
          <w:kern w:val="0"/>
          <w:sz w:val="24"/>
          <w:shd w:val="clear" w:color="auto" w:fill="FFFFFF"/>
          <w:lang w:val="en-US" w:eastAsia="zh-CN"/>
        </w:rPr>
      </w:pPr>
    </w:p>
    <w:p>
      <w:pPr>
        <w:ind w:firstLine="960" w:firstLineChars="3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15" w:lineRule="atLeast"/>
        <w:ind w:firstLine="1200" w:firstLineChars="4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0"/>
          <w:szCs w:val="30"/>
          <w:lang w:val="en-US" w:eastAsia="zh-CN"/>
        </w:rPr>
      </w:pPr>
    </w:p>
    <w:p>
      <w:pPr>
        <w:widowControl/>
        <w:shd w:val="clear" w:color="auto" w:fill="FFFFFF"/>
        <w:spacing w:line="315" w:lineRule="atLeast"/>
        <w:ind w:firstLine="3840" w:firstLineChars="12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</w:rPr>
        <w:t>会议流程</w:t>
      </w:r>
    </w:p>
    <w:tbl>
      <w:tblPr>
        <w:tblStyle w:val="7"/>
        <w:tblpPr w:leftFromText="180" w:rightFromText="180" w:vertAnchor="text" w:horzAnchor="page" w:tblpX="1681" w:tblpY="265"/>
        <w:tblW w:w="899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701"/>
        <w:gridCol w:w="5045"/>
        <w:gridCol w:w="15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7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50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" w:hRule="atLeast"/>
        </w:trPr>
        <w:tc>
          <w:tcPr>
            <w:tcW w:w="709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</w:rPr>
              <w:t>22日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9:00-1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:30</w:t>
            </w:r>
          </w:p>
        </w:tc>
        <w:tc>
          <w:tcPr>
            <w:tcW w:w="50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参会企业观展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与会代表签到、领取证件、资料</w:t>
            </w:r>
          </w:p>
        </w:tc>
        <w:tc>
          <w:tcPr>
            <w:tcW w:w="1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酒店大堂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70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14:00</w:t>
            </w:r>
          </w:p>
        </w:tc>
        <w:tc>
          <w:tcPr>
            <w:tcW w:w="50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合影留念</w:t>
            </w:r>
          </w:p>
        </w:tc>
        <w:tc>
          <w:tcPr>
            <w:tcW w:w="1536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会议期间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厂商宣讲产品及技术；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有发微信红包活动；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赞助商与参会企业互动交流；现场交易采购会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70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14:20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—1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：30</w:t>
            </w:r>
          </w:p>
        </w:tc>
        <w:tc>
          <w:tcPr>
            <w:tcW w:w="50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领导致辞</w:t>
            </w:r>
          </w:p>
        </w:tc>
        <w:tc>
          <w:tcPr>
            <w:tcW w:w="15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70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：30—16：30</w:t>
            </w:r>
          </w:p>
        </w:tc>
        <w:tc>
          <w:tcPr>
            <w:tcW w:w="50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具体《会议流程表》签到时领取</w:t>
            </w:r>
          </w:p>
        </w:tc>
        <w:tc>
          <w:tcPr>
            <w:tcW w:w="15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70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16：30—17：30</w:t>
            </w:r>
          </w:p>
        </w:tc>
        <w:tc>
          <w:tcPr>
            <w:tcW w:w="50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产品现场演示及体验交流、休息</w:t>
            </w:r>
          </w:p>
        </w:tc>
        <w:tc>
          <w:tcPr>
            <w:tcW w:w="15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</w:trPr>
        <w:tc>
          <w:tcPr>
            <w:tcW w:w="70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17：30—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：00</w:t>
            </w:r>
          </w:p>
        </w:tc>
        <w:tc>
          <w:tcPr>
            <w:tcW w:w="50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晚宴及抽奖活动</w:t>
            </w:r>
          </w:p>
        </w:tc>
        <w:tc>
          <w:tcPr>
            <w:tcW w:w="15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ind w:firstLine="600" w:firstLineChars="200"/>
        <w:jc w:val="left"/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15" w:lineRule="atLeast"/>
        <w:jc w:val="left"/>
        <w:rPr>
          <w:rFonts w:cs="宋体" w:asciiTheme="minorEastAsia" w:hAnsiTheme="minorEastAsia" w:eastAsiaTheme="minorEastAsia"/>
          <w:b/>
          <w:color w:val="FF0000"/>
          <w:kern w:val="0"/>
          <w:sz w:val="30"/>
          <w:szCs w:val="30"/>
        </w:rPr>
      </w:pPr>
      <w:bookmarkStart w:id="0" w:name="_GoBack"/>
      <w:bookmarkEnd w:id="0"/>
    </w:p>
    <w:sectPr>
      <w:pgSz w:w="11906" w:h="16838"/>
      <w:pgMar w:top="1134" w:right="1247" w:bottom="567" w:left="1247" w:header="68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61AE24"/>
    <w:multiLevelType w:val="singleLevel"/>
    <w:tmpl w:val="ED61AE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IxYjE1NWRiZGM0MzYyMDIwZmEzZDU0NTE2NWM5MDkifQ=="/>
  </w:docVars>
  <w:rsids>
    <w:rsidRoot w:val="00896D1B"/>
    <w:rsid w:val="00000374"/>
    <w:rsid w:val="00002FF8"/>
    <w:rsid w:val="00004918"/>
    <w:rsid w:val="00015E21"/>
    <w:rsid w:val="0002048E"/>
    <w:rsid w:val="00027947"/>
    <w:rsid w:val="00032231"/>
    <w:rsid w:val="0003410F"/>
    <w:rsid w:val="00034A4C"/>
    <w:rsid w:val="000504A1"/>
    <w:rsid w:val="00054789"/>
    <w:rsid w:val="00054979"/>
    <w:rsid w:val="00066031"/>
    <w:rsid w:val="00066F1D"/>
    <w:rsid w:val="000731A7"/>
    <w:rsid w:val="00085221"/>
    <w:rsid w:val="000867F9"/>
    <w:rsid w:val="0008756A"/>
    <w:rsid w:val="000977FD"/>
    <w:rsid w:val="000A296F"/>
    <w:rsid w:val="000A29EC"/>
    <w:rsid w:val="000B0B39"/>
    <w:rsid w:val="000B0FB0"/>
    <w:rsid w:val="000B444C"/>
    <w:rsid w:val="000C0B59"/>
    <w:rsid w:val="000E1448"/>
    <w:rsid w:val="000F4706"/>
    <w:rsid w:val="00110C53"/>
    <w:rsid w:val="001212E3"/>
    <w:rsid w:val="001350A0"/>
    <w:rsid w:val="001416D7"/>
    <w:rsid w:val="00145D7C"/>
    <w:rsid w:val="0015113B"/>
    <w:rsid w:val="00156716"/>
    <w:rsid w:val="00182604"/>
    <w:rsid w:val="001843B7"/>
    <w:rsid w:val="001A3B8E"/>
    <w:rsid w:val="001A6005"/>
    <w:rsid w:val="001B08FB"/>
    <w:rsid w:val="001B2858"/>
    <w:rsid w:val="001C4335"/>
    <w:rsid w:val="001D41D9"/>
    <w:rsid w:val="001D6203"/>
    <w:rsid w:val="001F437C"/>
    <w:rsid w:val="002058DD"/>
    <w:rsid w:val="00210E90"/>
    <w:rsid w:val="00216978"/>
    <w:rsid w:val="00225D48"/>
    <w:rsid w:val="002411B9"/>
    <w:rsid w:val="00242915"/>
    <w:rsid w:val="00274DB8"/>
    <w:rsid w:val="00282872"/>
    <w:rsid w:val="00284ED2"/>
    <w:rsid w:val="002A65CB"/>
    <w:rsid w:val="002B168F"/>
    <w:rsid w:val="002B1F5F"/>
    <w:rsid w:val="002C11F9"/>
    <w:rsid w:val="002C1A8A"/>
    <w:rsid w:val="002E5588"/>
    <w:rsid w:val="002F5115"/>
    <w:rsid w:val="00300782"/>
    <w:rsid w:val="00304129"/>
    <w:rsid w:val="00304326"/>
    <w:rsid w:val="00304FC5"/>
    <w:rsid w:val="00306046"/>
    <w:rsid w:val="00306CB5"/>
    <w:rsid w:val="00310724"/>
    <w:rsid w:val="00314E84"/>
    <w:rsid w:val="0032123C"/>
    <w:rsid w:val="00321648"/>
    <w:rsid w:val="00322B67"/>
    <w:rsid w:val="0033217E"/>
    <w:rsid w:val="00336B41"/>
    <w:rsid w:val="00345308"/>
    <w:rsid w:val="003613B7"/>
    <w:rsid w:val="0036645C"/>
    <w:rsid w:val="0036799D"/>
    <w:rsid w:val="00372CEE"/>
    <w:rsid w:val="00372E40"/>
    <w:rsid w:val="003739D6"/>
    <w:rsid w:val="00380689"/>
    <w:rsid w:val="003A61FF"/>
    <w:rsid w:val="003B28AA"/>
    <w:rsid w:val="003B6067"/>
    <w:rsid w:val="003B6ED3"/>
    <w:rsid w:val="003C08F8"/>
    <w:rsid w:val="003C1AF7"/>
    <w:rsid w:val="003C1CEB"/>
    <w:rsid w:val="003D16D8"/>
    <w:rsid w:val="003D4C64"/>
    <w:rsid w:val="003E2C5A"/>
    <w:rsid w:val="00410D09"/>
    <w:rsid w:val="00420D4C"/>
    <w:rsid w:val="00432858"/>
    <w:rsid w:val="00432A64"/>
    <w:rsid w:val="00456E4C"/>
    <w:rsid w:val="00457380"/>
    <w:rsid w:val="0046206B"/>
    <w:rsid w:val="0046570C"/>
    <w:rsid w:val="0047483F"/>
    <w:rsid w:val="00484452"/>
    <w:rsid w:val="00494CF6"/>
    <w:rsid w:val="00495B4C"/>
    <w:rsid w:val="004A0964"/>
    <w:rsid w:val="004B076C"/>
    <w:rsid w:val="004B28AD"/>
    <w:rsid w:val="004C0331"/>
    <w:rsid w:val="004C2480"/>
    <w:rsid w:val="004D5EE8"/>
    <w:rsid w:val="004D7C68"/>
    <w:rsid w:val="004D7D5A"/>
    <w:rsid w:val="004F2F1D"/>
    <w:rsid w:val="00500CAA"/>
    <w:rsid w:val="005017C4"/>
    <w:rsid w:val="005026D7"/>
    <w:rsid w:val="005078FB"/>
    <w:rsid w:val="00510DFB"/>
    <w:rsid w:val="00514C6B"/>
    <w:rsid w:val="005342BA"/>
    <w:rsid w:val="0054354C"/>
    <w:rsid w:val="00561DB2"/>
    <w:rsid w:val="00562495"/>
    <w:rsid w:val="00564B9E"/>
    <w:rsid w:val="00573C28"/>
    <w:rsid w:val="00581894"/>
    <w:rsid w:val="0059475A"/>
    <w:rsid w:val="005A033B"/>
    <w:rsid w:val="005A12B2"/>
    <w:rsid w:val="005A29DA"/>
    <w:rsid w:val="005A66E0"/>
    <w:rsid w:val="005B2B2B"/>
    <w:rsid w:val="005B7C8B"/>
    <w:rsid w:val="005C52CC"/>
    <w:rsid w:val="005C733C"/>
    <w:rsid w:val="005D47AA"/>
    <w:rsid w:val="005D5984"/>
    <w:rsid w:val="005D60FE"/>
    <w:rsid w:val="005D6395"/>
    <w:rsid w:val="005E5C66"/>
    <w:rsid w:val="005E7B6C"/>
    <w:rsid w:val="00612006"/>
    <w:rsid w:val="006159EF"/>
    <w:rsid w:val="0062354B"/>
    <w:rsid w:val="00635FB6"/>
    <w:rsid w:val="00656C7B"/>
    <w:rsid w:val="006620CA"/>
    <w:rsid w:val="00662860"/>
    <w:rsid w:val="0066362E"/>
    <w:rsid w:val="0066558A"/>
    <w:rsid w:val="00665E74"/>
    <w:rsid w:val="006676ED"/>
    <w:rsid w:val="00684BC5"/>
    <w:rsid w:val="00692CE8"/>
    <w:rsid w:val="0069792A"/>
    <w:rsid w:val="006A2DCF"/>
    <w:rsid w:val="006A5A9C"/>
    <w:rsid w:val="006C7F8F"/>
    <w:rsid w:val="006E421B"/>
    <w:rsid w:val="006E6F43"/>
    <w:rsid w:val="006F3EF5"/>
    <w:rsid w:val="00700EFF"/>
    <w:rsid w:val="00716082"/>
    <w:rsid w:val="00726F5B"/>
    <w:rsid w:val="00737E24"/>
    <w:rsid w:val="007409D4"/>
    <w:rsid w:val="00740A45"/>
    <w:rsid w:val="00740C06"/>
    <w:rsid w:val="00742B7D"/>
    <w:rsid w:val="0076118C"/>
    <w:rsid w:val="00761C19"/>
    <w:rsid w:val="00764431"/>
    <w:rsid w:val="00764B9D"/>
    <w:rsid w:val="0077228F"/>
    <w:rsid w:val="007734AE"/>
    <w:rsid w:val="00784383"/>
    <w:rsid w:val="00787A64"/>
    <w:rsid w:val="007A0DB0"/>
    <w:rsid w:val="007B04AA"/>
    <w:rsid w:val="007C3EBA"/>
    <w:rsid w:val="007D3B90"/>
    <w:rsid w:val="007D7F87"/>
    <w:rsid w:val="007E28BD"/>
    <w:rsid w:val="007E57A2"/>
    <w:rsid w:val="007E5E84"/>
    <w:rsid w:val="007F3756"/>
    <w:rsid w:val="0081104B"/>
    <w:rsid w:val="008145E8"/>
    <w:rsid w:val="0082221C"/>
    <w:rsid w:val="00835249"/>
    <w:rsid w:val="00836C60"/>
    <w:rsid w:val="00840A9E"/>
    <w:rsid w:val="0085027D"/>
    <w:rsid w:val="008608CD"/>
    <w:rsid w:val="00863A7E"/>
    <w:rsid w:val="00864923"/>
    <w:rsid w:val="008715E2"/>
    <w:rsid w:val="008951CF"/>
    <w:rsid w:val="00896D1B"/>
    <w:rsid w:val="008A71FE"/>
    <w:rsid w:val="008B6AD6"/>
    <w:rsid w:val="008C441E"/>
    <w:rsid w:val="008D060B"/>
    <w:rsid w:val="008D0774"/>
    <w:rsid w:val="008D56D5"/>
    <w:rsid w:val="008E7C3F"/>
    <w:rsid w:val="008F62B6"/>
    <w:rsid w:val="00900FCC"/>
    <w:rsid w:val="0091049B"/>
    <w:rsid w:val="00912505"/>
    <w:rsid w:val="00920C01"/>
    <w:rsid w:val="009320B0"/>
    <w:rsid w:val="00932F38"/>
    <w:rsid w:val="00935B34"/>
    <w:rsid w:val="00935F00"/>
    <w:rsid w:val="00944C4F"/>
    <w:rsid w:val="00955BED"/>
    <w:rsid w:val="00976FAE"/>
    <w:rsid w:val="009A37B8"/>
    <w:rsid w:val="009D576B"/>
    <w:rsid w:val="009E12EA"/>
    <w:rsid w:val="009F1DFF"/>
    <w:rsid w:val="009F2017"/>
    <w:rsid w:val="009F280A"/>
    <w:rsid w:val="009F76C1"/>
    <w:rsid w:val="00A03B7E"/>
    <w:rsid w:val="00A10852"/>
    <w:rsid w:val="00A1130C"/>
    <w:rsid w:val="00A125AD"/>
    <w:rsid w:val="00A36C3B"/>
    <w:rsid w:val="00A36F81"/>
    <w:rsid w:val="00A40361"/>
    <w:rsid w:val="00A524C0"/>
    <w:rsid w:val="00A55ADA"/>
    <w:rsid w:val="00A62C17"/>
    <w:rsid w:val="00A72BE6"/>
    <w:rsid w:val="00A73A5A"/>
    <w:rsid w:val="00A86EA6"/>
    <w:rsid w:val="00A90A9C"/>
    <w:rsid w:val="00AA19E9"/>
    <w:rsid w:val="00AB0335"/>
    <w:rsid w:val="00AD374A"/>
    <w:rsid w:val="00AD4EA2"/>
    <w:rsid w:val="00AD7701"/>
    <w:rsid w:val="00AE097F"/>
    <w:rsid w:val="00AF3952"/>
    <w:rsid w:val="00AF6B4A"/>
    <w:rsid w:val="00AF7174"/>
    <w:rsid w:val="00AF7D8A"/>
    <w:rsid w:val="00B0487B"/>
    <w:rsid w:val="00B12AC6"/>
    <w:rsid w:val="00B14004"/>
    <w:rsid w:val="00B166DD"/>
    <w:rsid w:val="00B21EC5"/>
    <w:rsid w:val="00B23503"/>
    <w:rsid w:val="00B331DB"/>
    <w:rsid w:val="00B42699"/>
    <w:rsid w:val="00B6293C"/>
    <w:rsid w:val="00B73D27"/>
    <w:rsid w:val="00B74435"/>
    <w:rsid w:val="00B76D51"/>
    <w:rsid w:val="00B837BA"/>
    <w:rsid w:val="00B84516"/>
    <w:rsid w:val="00B84583"/>
    <w:rsid w:val="00B90867"/>
    <w:rsid w:val="00B94375"/>
    <w:rsid w:val="00B94DEF"/>
    <w:rsid w:val="00B970B0"/>
    <w:rsid w:val="00B97557"/>
    <w:rsid w:val="00BA407C"/>
    <w:rsid w:val="00BA5595"/>
    <w:rsid w:val="00BB135B"/>
    <w:rsid w:val="00BD3287"/>
    <w:rsid w:val="00BD4943"/>
    <w:rsid w:val="00BD62B7"/>
    <w:rsid w:val="00BF2C5B"/>
    <w:rsid w:val="00BF6328"/>
    <w:rsid w:val="00C02574"/>
    <w:rsid w:val="00C02BE4"/>
    <w:rsid w:val="00C1090E"/>
    <w:rsid w:val="00C1194A"/>
    <w:rsid w:val="00C14402"/>
    <w:rsid w:val="00C2060C"/>
    <w:rsid w:val="00C21EC6"/>
    <w:rsid w:val="00C342C2"/>
    <w:rsid w:val="00C45F08"/>
    <w:rsid w:val="00C54ED1"/>
    <w:rsid w:val="00C60546"/>
    <w:rsid w:val="00C62B96"/>
    <w:rsid w:val="00C62FDB"/>
    <w:rsid w:val="00C63F1D"/>
    <w:rsid w:val="00C72963"/>
    <w:rsid w:val="00C96BE8"/>
    <w:rsid w:val="00CA196C"/>
    <w:rsid w:val="00CA2439"/>
    <w:rsid w:val="00CC3417"/>
    <w:rsid w:val="00CC69B4"/>
    <w:rsid w:val="00CC6F4E"/>
    <w:rsid w:val="00CD60D4"/>
    <w:rsid w:val="00CE214A"/>
    <w:rsid w:val="00CF1059"/>
    <w:rsid w:val="00CF42AB"/>
    <w:rsid w:val="00CF70DF"/>
    <w:rsid w:val="00D05A4C"/>
    <w:rsid w:val="00D101ED"/>
    <w:rsid w:val="00D11A56"/>
    <w:rsid w:val="00D26118"/>
    <w:rsid w:val="00D27F5D"/>
    <w:rsid w:val="00D42E55"/>
    <w:rsid w:val="00D45E8A"/>
    <w:rsid w:val="00D51816"/>
    <w:rsid w:val="00D5532B"/>
    <w:rsid w:val="00D561DE"/>
    <w:rsid w:val="00D60BBE"/>
    <w:rsid w:val="00D71506"/>
    <w:rsid w:val="00D7254D"/>
    <w:rsid w:val="00D7338B"/>
    <w:rsid w:val="00D82558"/>
    <w:rsid w:val="00D82C9E"/>
    <w:rsid w:val="00D858F4"/>
    <w:rsid w:val="00D922E7"/>
    <w:rsid w:val="00D95DE8"/>
    <w:rsid w:val="00D96EC8"/>
    <w:rsid w:val="00DB0290"/>
    <w:rsid w:val="00DC5E97"/>
    <w:rsid w:val="00DF0DFD"/>
    <w:rsid w:val="00E00603"/>
    <w:rsid w:val="00E04CD7"/>
    <w:rsid w:val="00E05014"/>
    <w:rsid w:val="00E06765"/>
    <w:rsid w:val="00E077CC"/>
    <w:rsid w:val="00E13C74"/>
    <w:rsid w:val="00E31DFD"/>
    <w:rsid w:val="00E35D58"/>
    <w:rsid w:val="00E43327"/>
    <w:rsid w:val="00E451CA"/>
    <w:rsid w:val="00E45AD6"/>
    <w:rsid w:val="00E520A2"/>
    <w:rsid w:val="00E61082"/>
    <w:rsid w:val="00E66309"/>
    <w:rsid w:val="00E87FC8"/>
    <w:rsid w:val="00E92C6C"/>
    <w:rsid w:val="00E93279"/>
    <w:rsid w:val="00EA36B8"/>
    <w:rsid w:val="00EB5E47"/>
    <w:rsid w:val="00EC49D9"/>
    <w:rsid w:val="00EE053B"/>
    <w:rsid w:val="00F03842"/>
    <w:rsid w:val="00F047B1"/>
    <w:rsid w:val="00F0748B"/>
    <w:rsid w:val="00F162B3"/>
    <w:rsid w:val="00F27DFC"/>
    <w:rsid w:val="00F33E82"/>
    <w:rsid w:val="00F44242"/>
    <w:rsid w:val="00F52BC1"/>
    <w:rsid w:val="00F54BCE"/>
    <w:rsid w:val="00F55A97"/>
    <w:rsid w:val="00F63CB0"/>
    <w:rsid w:val="00F650A1"/>
    <w:rsid w:val="00F66061"/>
    <w:rsid w:val="00F85025"/>
    <w:rsid w:val="00F86A36"/>
    <w:rsid w:val="00F90545"/>
    <w:rsid w:val="00FA2269"/>
    <w:rsid w:val="00FB4923"/>
    <w:rsid w:val="00FC0035"/>
    <w:rsid w:val="00FC04BF"/>
    <w:rsid w:val="00FC51EE"/>
    <w:rsid w:val="00FC6479"/>
    <w:rsid w:val="00FE7C57"/>
    <w:rsid w:val="00FF21EB"/>
    <w:rsid w:val="00FF65D6"/>
    <w:rsid w:val="00FF6F36"/>
    <w:rsid w:val="059F3731"/>
    <w:rsid w:val="0E057A06"/>
    <w:rsid w:val="115051A8"/>
    <w:rsid w:val="1D604938"/>
    <w:rsid w:val="36BC08AA"/>
    <w:rsid w:val="3EF849B5"/>
    <w:rsid w:val="40196A1F"/>
    <w:rsid w:val="45237018"/>
    <w:rsid w:val="4B2E18EE"/>
    <w:rsid w:val="4D95086F"/>
    <w:rsid w:val="53E74219"/>
    <w:rsid w:val="58300F37"/>
    <w:rsid w:val="5A2D0605"/>
    <w:rsid w:val="6560103A"/>
    <w:rsid w:val="696931FD"/>
    <w:rsid w:val="6CD84C07"/>
    <w:rsid w:val="7135410F"/>
    <w:rsid w:val="7246758E"/>
    <w:rsid w:val="7EB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9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样式1"/>
    <w:basedOn w:val="5"/>
    <w:link w:val="17"/>
    <w:qFormat/>
    <w:uiPriority w:val="99"/>
    <w:pPr>
      <w:shd w:val="clear" w:color="auto" w:fill="FFFFFF"/>
      <w:jc w:val="both"/>
    </w:pPr>
  </w:style>
  <w:style w:type="paragraph" w:customStyle="1" w:styleId="16">
    <w:name w:val="样式2"/>
    <w:basedOn w:val="15"/>
    <w:link w:val="18"/>
    <w:qFormat/>
    <w:uiPriority w:val="99"/>
    <w:pPr>
      <w:pBdr>
        <w:bottom w:val="none" w:color="auto" w:sz="0" w:space="0"/>
      </w:pBdr>
    </w:pPr>
  </w:style>
  <w:style w:type="character" w:customStyle="1" w:styleId="17">
    <w:name w:val="样式1 Char"/>
    <w:basedOn w:val="13"/>
    <w:link w:val="15"/>
    <w:qFormat/>
    <w:locked/>
    <w:uiPriority w:val="99"/>
    <w:rPr>
      <w:shd w:val="clear" w:color="auto" w:fill="FFFFFF"/>
    </w:rPr>
  </w:style>
  <w:style w:type="character" w:customStyle="1" w:styleId="18">
    <w:name w:val="样式2 Char"/>
    <w:basedOn w:val="17"/>
    <w:link w:val="16"/>
    <w:qFormat/>
    <w:locked/>
    <w:uiPriority w:val="99"/>
  </w:style>
  <w:style w:type="character" w:customStyle="1" w:styleId="19">
    <w:name w:val="标题 2 Char"/>
    <w:basedOn w:val="9"/>
    <w:link w:val="2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0E9DC-07B8-4551-925C-FCB86CD4E4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482</Words>
  <Characters>573</Characters>
  <Lines>11</Lines>
  <Paragraphs>3</Paragraphs>
  <TotalTime>3</TotalTime>
  <ScaleCrop>false</ScaleCrop>
  <LinksUpToDate>false</LinksUpToDate>
  <CharactersWithSpaces>574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2015-04-15T09:32:00Z</dcterms:created>
  <dc:creator>微软用户</dc:creator>
  <cp:lastModifiedBy>100%</cp:lastModifiedBy>
  <dcterms:modified xsi:type="dcterms:W3CDTF">2022-07-12T03:03:39Z</dcterms:modified>
  <dc:title>第一届中国安防工程商（系统集成商）大会</dc:title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2535A03D925341909BFB39255B29CDC7</vt:lpwstr>
  </property>
</Properties>
</file>